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04" w:rsidRPr="00726204" w:rsidRDefault="00726204" w:rsidP="00726204">
      <w:pPr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</w:pPr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 xml:space="preserve">Постановление Правительства РФ от 26.02.2010 N 96 (ред. от 10.07.2017) "Об </w:t>
      </w:r>
      <w:proofErr w:type="spellStart"/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>антикоррупционной</w:t>
      </w:r>
      <w:proofErr w:type="spellEnd"/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 xml:space="preserve"> экспертизе нормативных правовых актов и проектов нормативных правовых актов" (вместе с "Правилами проведения </w:t>
      </w:r>
      <w:proofErr w:type="spellStart"/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>антикоррупционной</w:t>
      </w:r>
      <w:proofErr w:type="spellEnd"/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 xml:space="preserve"> экспертизы нормативных правовых актов и проектов нормативных правовых актов", "Методикой проведения </w:t>
      </w:r>
      <w:proofErr w:type="spellStart"/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>антикоррупционной</w:t>
      </w:r>
      <w:proofErr w:type="spellEnd"/>
      <w:r w:rsidRPr="00726204">
        <w:rPr>
          <w:rFonts w:ascii="Montserrat" w:eastAsia="Times New Roman" w:hAnsi="Montserrat" w:cs="Times New Roman"/>
          <w:b/>
          <w:bCs/>
          <w:color w:val="00589B"/>
          <w:sz w:val="38"/>
          <w:szCs w:val="38"/>
          <w:lang w:eastAsia="ru-RU"/>
        </w:rPr>
        <w:t xml:space="preserve"> экспертизы нормативных правовых актов и проектов нормативных правовых актов")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2010 г. N 96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НОРМАТИВНЫХ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bookmarkStart w:id="4" w:name="100006"/>
    <w:bookmarkEnd w:id="4"/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"https://legalacts.ru/doc/postanovlenie-pravitelstva-rf-ot-26022010-n-96/" \l "100013" </w:instrTex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6204">
        <w:rPr>
          <w:rFonts w:ascii="Times New Roman" w:eastAsia="Times New Roman" w:hAnsi="Times New Roman" w:cs="Times New Roman"/>
          <w:color w:val="4272D7"/>
          <w:sz w:val="24"/>
          <w:szCs w:val="24"/>
          <w:u w:val="single"/>
          <w:lang w:eastAsia="ru-RU"/>
        </w:rPr>
        <w:t>Правила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актов;</w:t>
      </w:r>
    </w:p>
    <w:bookmarkStart w:id="5" w:name="100007"/>
    <w:bookmarkEnd w:id="5"/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"https://legalacts.ru/doc/postanovlenie-pravitelstva-rf-ot-26022010-n-96/" \l "100027" </w:instrTex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6204">
        <w:rPr>
          <w:rFonts w:ascii="Times New Roman" w:eastAsia="Times New Roman" w:hAnsi="Times New Roman" w:cs="Times New Roman"/>
          <w:color w:val="4272D7"/>
          <w:sz w:val="24"/>
          <w:szCs w:val="24"/>
          <w:u w:val="single"/>
          <w:lang w:eastAsia="ru-RU"/>
        </w:rPr>
        <w:t>методику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5 марта 2009 г. N 195 "Об утверждении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проведения экспертизы проектов нормативных правовых актов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5 марта 2009 г. N 196 "Об утверждении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для проявления коррупции" (Собрание законодательства Российской Федерации, 2009, N 10, ст. 1241).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726204" w:rsidRPr="00726204" w:rsidRDefault="00726204" w:rsidP="0072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726204" w:rsidRPr="00726204" w:rsidRDefault="00726204" w:rsidP="0072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726204" w:rsidRPr="00726204" w:rsidRDefault="00726204" w:rsidP="0072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2"/>
      <w:bookmarkEnd w:id="9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2010 г. N 96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3"/>
      <w:bookmarkEnd w:id="1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Министерство юстиции Российской Федерации проводит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в соответствии с </w:t>
      </w:r>
      <w:hyperlink r:id="rId5" w:anchor="10002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методикой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6"/>
      <w:bookmarkEnd w:id="12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45"/>
      <w:bookmarkStart w:id="14" w:name="100017"/>
      <w:bookmarkStart w:id="15" w:name="000003"/>
      <w:bookmarkEnd w:id="13"/>
      <w:bookmarkEnd w:id="14"/>
      <w:bookmarkEnd w:id="15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000004"/>
      <w:bookmarkStart w:id="18" w:name="100019"/>
      <w:bookmarkEnd w:id="17"/>
      <w:bookmarkEnd w:id="18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000005"/>
      <w:bookmarkStart w:id="20" w:name="100020"/>
      <w:bookmarkEnd w:id="19"/>
      <w:bookmarkEnd w:id="2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Результаты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отражаются в заключени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000022"/>
      <w:bookmarkStart w:id="22" w:name="000006"/>
      <w:bookmarkEnd w:id="21"/>
      <w:bookmarkEnd w:id="22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3(1). Разногласия, возникающие при оценке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6" w:anchor="100016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подпунктами "а"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000003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"б" пункта 2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разрешаются в порядке, установленном </w:t>
      </w:r>
      <w:hyperlink r:id="rId8" w:anchor="10001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Регламентом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000007"/>
      <w:bookmarkEnd w:id="2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Разногласия, возникающие при оценке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9" w:anchor="100028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000008"/>
      <w:bookmarkStart w:id="25" w:name="100021"/>
      <w:bookmarkEnd w:id="24"/>
      <w:bookmarkEnd w:id="25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в соответствии с </w:t>
      </w:r>
      <w:hyperlink r:id="rId10" w:anchor="10002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методикой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000023"/>
      <w:bookmarkStart w:id="27" w:name="000009"/>
      <w:bookmarkStart w:id="28" w:name="000001"/>
      <w:bookmarkStart w:id="29" w:name="100022"/>
      <w:bookmarkEnd w:id="26"/>
      <w:bookmarkEnd w:id="27"/>
      <w:bookmarkEnd w:id="28"/>
      <w:bookmarkEnd w:id="29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11" w:anchor="100128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57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Регламента Правительства, размещают эти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на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000028"/>
      <w:bookmarkEnd w:id="3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не менее чем на 7 дней.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000024"/>
      <w:bookmarkEnd w:id="31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 </w:t>
      </w:r>
      <w:hyperlink r:id="rId12" w:anchor="00015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60(1)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Регламента Правительства, заключения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публичных консультаций, проводимых в порядке, установленном </w:t>
      </w:r>
      <w:hyperlink r:id="rId13" w:anchor="100024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025"/>
      <w:bookmarkEnd w:id="32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 </w:t>
      </w:r>
      <w:hyperlink r:id="rId14" w:anchor="10001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общественного обсуждения, проводимого в соответствии с </w:t>
      </w:r>
      <w:hyperlink r:id="rId15" w:anchor="10001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16" w:anchor="000003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11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указанных Правил.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029"/>
      <w:bookmarkEnd w:id="3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порядке, установленном </w:t>
      </w:r>
      <w:hyperlink r:id="rId17" w:anchor="000023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абзацами первым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anchor="000028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вторым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000002"/>
      <w:bookmarkStart w:id="35" w:name="100023"/>
      <w:bookmarkEnd w:id="34"/>
      <w:bookmarkEnd w:id="35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000030"/>
      <w:bookmarkEnd w:id="3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не менее чем на 7 дней.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7"/>
      <w:bookmarkStart w:id="38" w:name="000026"/>
      <w:bookmarkEnd w:id="37"/>
      <w:bookmarkEnd w:id="38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19" w:anchor="000051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3(1)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публичных консультаций, проводимых в порядке, установленном </w:t>
      </w:r>
      <w:hyperlink r:id="rId20" w:anchor="100024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федеральными органами исполнительной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решений Совета Евразийской экономической комиссии.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000027"/>
      <w:bookmarkEnd w:id="39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 </w:t>
      </w:r>
      <w:hyperlink r:id="rId21" w:anchor="10001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направляются в рамках общественного обсуждения, проводимого в соответствии с </w:t>
      </w:r>
      <w:hyperlink r:id="rId22" w:anchor="100017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раскрытия федеральными органами исполнительной власти информации о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23" w:anchor="000003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11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указанных Правил.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031"/>
      <w:bookmarkEnd w:id="4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порядке, установленном </w:t>
      </w:r>
      <w:hyperlink r:id="rId24" w:anchor="000002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абзацами первым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" w:anchor="000030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вторым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24"/>
      <w:bookmarkEnd w:id="41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000010"/>
      <w:bookmarkEnd w:id="42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7(1). 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000011"/>
      <w:bookmarkEnd w:id="4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заключения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000012"/>
      <w:bookmarkEnd w:id="44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000013"/>
      <w:bookmarkEnd w:id="45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000014"/>
      <w:bookmarkEnd w:id="4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копии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000015"/>
      <w:bookmarkEnd w:id="47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000016"/>
      <w:bookmarkEnd w:id="48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000017"/>
      <w:bookmarkEnd w:id="49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7(2).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000018"/>
      <w:bookmarkEnd w:id="5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019"/>
      <w:bookmarkEnd w:id="51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7(3).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поступившие в федеральный орган исполнительной власти, нормативные правовые акты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000032"/>
      <w:bookmarkEnd w:id="52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фактором.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000020"/>
      <w:bookmarkEnd w:id="5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7(4). В случае если поступившее заключение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000021"/>
      <w:bookmarkStart w:id="55" w:name="100025"/>
      <w:bookmarkEnd w:id="54"/>
      <w:bookmarkEnd w:id="55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нормативных правовых актов, предусмотренные в </w:t>
      </w:r>
      <w:hyperlink r:id="rId26" w:anchor="100022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пункте 5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при условии соблюдения положений </w:t>
      </w:r>
      <w:hyperlink r:id="rId27" w:anchor="100046" w:history="1">
        <w:r w:rsidRPr="0072620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части 3 статьи 5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726204" w:rsidRPr="00726204" w:rsidRDefault="00726204" w:rsidP="0072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726204" w:rsidRPr="00726204" w:rsidRDefault="00726204" w:rsidP="0072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726204" w:rsidRPr="00726204" w:rsidRDefault="00726204" w:rsidP="0072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26"/>
      <w:bookmarkEnd w:id="5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26204" w:rsidRPr="00726204" w:rsidRDefault="00726204" w:rsidP="0072620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февраля 2010 г. N 96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27"/>
      <w:bookmarkEnd w:id="57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726204" w:rsidRPr="00726204" w:rsidRDefault="00726204" w:rsidP="00726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28"/>
      <w:bookmarkEnd w:id="58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29"/>
      <w:bookmarkEnd w:id="59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30"/>
      <w:bookmarkEnd w:id="6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обеспечения обоснованности, объективности и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проверяемости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000033"/>
      <w:bookmarkStart w:id="62" w:name="100032"/>
      <w:bookmarkEnd w:id="61"/>
      <w:bookmarkEnd w:id="62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000034"/>
      <w:bookmarkStart w:id="64" w:name="100033"/>
      <w:bookmarkEnd w:id="63"/>
      <w:bookmarkEnd w:id="64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000035"/>
      <w:bookmarkStart w:id="66" w:name="100034"/>
      <w:bookmarkEnd w:id="65"/>
      <w:bookmarkEnd w:id="6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000036"/>
      <w:bookmarkStart w:id="68" w:name="100035"/>
      <w:bookmarkEnd w:id="67"/>
      <w:bookmarkEnd w:id="68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000037"/>
      <w:bookmarkStart w:id="70" w:name="100036"/>
      <w:bookmarkEnd w:id="69"/>
      <w:bookmarkEnd w:id="70"/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37"/>
      <w:bookmarkEnd w:id="71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000038"/>
      <w:bookmarkStart w:id="73" w:name="100038"/>
      <w:bookmarkEnd w:id="72"/>
      <w:bookmarkEnd w:id="7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39"/>
      <w:bookmarkEnd w:id="74"/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000039"/>
      <w:bookmarkEnd w:id="75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(их должностных лиц) возможность произвольного выбора норм, подлежащих применению в конкретном случае.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40"/>
      <w:bookmarkEnd w:id="7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41"/>
      <w:bookmarkEnd w:id="77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40"/>
      <w:bookmarkStart w:id="79" w:name="100042"/>
      <w:bookmarkEnd w:id="78"/>
      <w:bookmarkEnd w:id="79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43"/>
      <w:bookmarkEnd w:id="80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юридико-лингвистическая неопределенность - употребление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неустоявшихся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двусмысленных терминов и категорий оценочного характера.</w:t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72D7"/>
          <w:sz w:val="24"/>
          <w:szCs w:val="24"/>
          <w:lang w:eastAsia="ru-RU"/>
        </w:rPr>
        <w:drawing>
          <wp:inline distT="0" distB="0" distL="0" distR="0">
            <wp:extent cx="8571230" cy="1146175"/>
            <wp:effectExtent l="19050" t="0" r="1270" b="0"/>
            <wp:docPr id="1" name="Рисунок 1" descr="https://avatars.mds.yandex.net/get-adfox-content/2788782/220831_adfox_1407670_3814469.60da7b46971f08f9cd404d7c1a9f5897.gif/optimize.webp?webp=false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788782/220831_adfox_1407670_3814469.60da7b46971f08f9cd404d7c1a9f5897.gif/optimize.webp?webp=false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04" w:rsidRPr="00726204" w:rsidRDefault="00726204" w:rsidP="00726204">
      <w:pPr>
        <w:spacing w:after="0" w:line="240" w:lineRule="auto"/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</w:pPr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 xml:space="preserve">Судебная практика и законодательство — Постановление Правительства РФ от 26.02.2010 N 96 (ред. от 10.07.2017) "Об </w:t>
      </w:r>
      <w:proofErr w:type="spellStart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>антикоррупционной</w:t>
      </w:r>
      <w:proofErr w:type="spellEnd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 xml:space="preserve"> экспертизе нормативных правовых актов и проектов нормативных правовых актов" (вместе с "Правилами проведения </w:t>
      </w:r>
      <w:proofErr w:type="spellStart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>антикоррупционной</w:t>
      </w:r>
      <w:proofErr w:type="spellEnd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 xml:space="preserve"> экспертизы нормативных правовых актов и проектов нормативных правовых актов", "Методикой проведения </w:t>
      </w:r>
      <w:proofErr w:type="spellStart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>антикоррупционной</w:t>
      </w:r>
      <w:proofErr w:type="spellEnd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 xml:space="preserve"> экспертизы нормативных правовых актов и проектов нормативных правовых актов"</w:t>
      </w:r>
      <w:proofErr w:type="gramStart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>)С</w:t>
      </w:r>
      <w:proofErr w:type="gramEnd"/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>удебная практика высших судов РФ</w:t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100266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Росрезерва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от 15.05.2017 N 102</w:t>
        </w:r>
        <w:proofErr w:type="gram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</w:t>
        </w:r>
        <w:proofErr w:type="gram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б утверждении Регламента Федерального агентства по государственным резервам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266"/>
      <w:bookmarkEnd w:id="81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правового обеспечения и внутреннего финансового аудита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Росрезерва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правовой экспертизы проекта нормативного правового акта проводит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данного проекта нормативного правового акта в </w:t>
      </w:r>
      <w:hyperlink r:id="rId31" w:anchor="100011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порядке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приказом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Росрезерва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25.01.2010 N 10 "Об утверждении Порядка 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Федерального агентства по государственным резервам" (зарегистрирован в Министерстве юстиции Российской Федерации 9 февраля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г., регистрационный N 16343) с изменениями, внесенными приказами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Росрезерва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декабря 2010 г. N 252 (зарегистрирован в Министерстве юстиции Российской Федерации 28 января 2011 г., регистрационный N 19615), от 28 июня 2013 г. N 93 (зарегистрирован в Министерстве юстиции Российской Федерации 18 июля 2013 г.,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N 29099) и согласно </w:t>
      </w:r>
      <w:hyperlink r:id="rId32" w:anchor="100027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методике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правовых актов, утвержденной постановлением Правительства Российской Федерации от 26 февраля 2010 г. N 96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6278;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6, ст. 965; N 30, ст. 4604).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100005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Госкорпорации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Роскосмос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" от 28.04.2017 N 146 "Об утверждении Порядка проведения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антикоррупционной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экспертизы нормативных правовых актов и проектов нормативных правовых актов Государственной корпорации по космической деятельности "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Роскосмос</w:t>
        </w:r>
        <w:proofErr w:type="spellEnd"/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05"/>
      <w:bookmarkEnd w:id="82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34" w:anchor="100160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статьей 8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13 июля 2015 г. N 215-ФЗ "О Государственной корпорации по космической деятельности "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(Собрание законодательства Российской Федерации, 2015, N 29 (ч. 1), ст. 4341), </w:t>
      </w:r>
      <w:hyperlink r:id="rId35" w:anchor="100022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пунктом 3 части 1 статьи 3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17 июля 2009 г. N 172-ФЗ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(Собрание законодательства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2009, N 29, ст. 3609; 2011, N 48, ст. 6730; 2013, N 43, ст. 5449) и </w:t>
      </w:r>
      <w:hyperlink r:id="rId36" w:anchor="100013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постановлением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26 февраля 2010 г. N 96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13, ст. 1575; N 48, ст. 6278; 2015, N 6, ст. 965; N 30, ст. 4604) приказываю: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100011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Роскосмоса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от 20.04.2010 N 65 (ред. от 31.01.2013) Об утверждении Порядка проведения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антикоррупционной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экспертизы нормативных правовых актов и проектов нормативных правовых актов Федерального космического агентства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11"/>
      <w:bookmarkEnd w:id="83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Федеральным </w:t>
      </w:r>
      <w:hyperlink r:id="rId38" w:anchor="100022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законом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17 июля 2009 г. N 172-ФЗ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&lt;*&gt; и на основании </w:t>
      </w:r>
      <w:hyperlink r:id="rId39" w:anchor="100013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Правил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&lt;**&gt;.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100318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Росимущества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от 15.05.2017 N 136 "Об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информационно-телекоммуникационной сети Интернет"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318"/>
      <w:bookmarkEnd w:id="84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нормативных правовых актов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затрагивающих права, свободы и обязанности человека и гражданина, устанавливающих правовой статус организаций или </w:t>
      </w: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межведомственный характер. В сроки, установленные </w:t>
      </w:r>
      <w:hyperlink r:id="rId41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постановлением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26.02.2010 N 96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100304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Минвостокразвития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России от 28.04.2017 N 103</w:t>
        </w:r>
        <w:proofErr w:type="gram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</w:t>
        </w:r>
        <w:proofErr w:type="gram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б утверждении Регламента Министерства Российской Федерации по развитию Дальнего Востока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304"/>
      <w:bookmarkEnd w:id="85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первичного анализа проекта на предмет наличия либо отсутствия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согласно </w:t>
      </w:r>
      <w:hyperlink r:id="rId43" w:anchor="100027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методике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&lt;10&gt; (далее - постановление Правительства Российской Федерации от 26 февраля 2010 г. N 96);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100046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Приказ Минприроды России от 22.11.2016 N 613</w:t>
        </w:r>
        <w:proofErr w:type="gram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</w:t>
        </w:r>
        <w:proofErr w:type="gram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б утверждении Порядка проведения экспертизы не носящих нормативного характера правовых актов органов исполнительной власти субъектов Российской Федерации, осуществляющих переданные полномочия Российской Федерации в области лесных отношений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46"/>
      <w:bookmarkEnd w:id="86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Наличие или отсутствие в правовом акте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определяется в соответствии с </w:t>
      </w:r>
      <w:hyperlink r:id="rId45" w:anchor="100027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Методикой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&lt;4&gt;.</w:t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100031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Приказ Минюста России от 01.02.2017 N 9 (ред. от 24.08.2021) "Об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образований, муниципальных правовых актов о внесении изменений в уставы муниципальных образований"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31"/>
      <w:bookmarkEnd w:id="87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уставов или муниципальных правовых актов в целях выявления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 следует руководствоваться </w:t>
      </w:r>
      <w:hyperlink r:id="rId47" w:anchor="100027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методикой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(Собрание законодательства Российской Федерации, 2010, N 10, ст. 1084;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52, ст. 7507; 2013, N 13, ст. 1575, N 48, ст. 6278; 2015, N 6, ст. 965, N 30, ст. 4604).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100015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Приказ Минстроя России от 19.01.2017 N 36/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</w:t>
        </w:r>
        <w:proofErr w:type="spellEnd"/>
        <w:proofErr w:type="gram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</w:t>
        </w:r>
        <w:proofErr w:type="gram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б утверждении Порядка проведения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антикоррупционной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экспертизы нормативных </w:t>
        </w:r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lastRenderedPageBreak/>
          <w:t>правовых актов и проектов нормативных правовых актов Министерства строительства и жилищно-коммунального хозяйства Российской Федерации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15"/>
      <w:bookmarkEnd w:id="88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актов и проектов актов проводит Правовой департамент Министерства (далее - Правовой департамент) в соответствии с </w:t>
      </w:r>
      <w:hyperlink r:id="rId49" w:anchor="100027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методикой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1084; 2012, N 52, ст. 7507;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13, ст. 1575, N 48, ст. 6278; 2015, N 6, ст. 965, N 30, ст. 4604) (далее - Методика) и Порядком.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100106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Росмолодежи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от 28.11.2016 N 436</w:t>
        </w:r>
        <w:proofErr w:type="gram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</w:t>
        </w:r>
        <w:proofErr w:type="gram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б утверждении Регламента Федерального агентства по делам молодежи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106"/>
      <w:bookmarkEnd w:id="89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нормативных правовых актах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размещается на официальном сайте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с целью обеспечения возможности проведения независимой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соответствии с </w:t>
      </w:r>
      <w:hyperlink r:id="rId51" w:anchor="100013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</w:t>
      </w:r>
      <w:proofErr w:type="gram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26 февраля 2010 г. N 96 (Собрание законодательства Российской Федерации, 2010, N 10, ст. 1084; 2012, N 52, ст. 7507; 2013, N 13, ст. 1575; N 48, ст. 6278; 2015, N 6, ст. 965; N 30, ст. 4604).</w:t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100240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Приказ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Росархива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от 15.12.2016 N 146</w:t>
        </w:r>
        <w:proofErr w:type="gramStart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 xml:space="preserve"> О</w:t>
        </w:r>
        <w:proofErr w:type="gramEnd"/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б утверждении Регламента Федерального архивного агентства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204" w:rsidRPr="00726204" w:rsidRDefault="00726204" w:rsidP="0072620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240"/>
      <w:bookmarkEnd w:id="90"/>
      <w:proofErr w:type="gram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нормативных правовых актов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затрагивающих права, свободы и обязанности человека и гражданина, устанавливающих правовой статус организаций, имеющих межведомственный характер, проводится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в соответствии с утвержденными Правительством Российской Федерации </w:t>
      </w:r>
      <w:hyperlink r:id="rId53" w:anchor="100013" w:history="1">
        <w:r w:rsidRPr="00726204">
          <w:rPr>
            <w:rFonts w:ascii="Montserrat" w:eastAsia="Times New Roman" w:hAnsi="Montserrat" w:cs="Times New Roman"/>
            <w:color w:val="4272D7"/>
            <w:sz w:val="31"/>
            <w:u w:val="single"/>
            <w:lang w:eastAsia="ru-RU"/>
          </w:rPr>
          <w:t>правилами</w:t>
        </w:r>
      </w:hyperlink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  <w:proofErr w:type="gramEnd"/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04" w:rsidRPr="00726204" w:rsidRDefault="00726204" w:rsidP="00726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58750" cy="158750"/>
            <wp:effectExtent l="19050" t="0" r="0" b="0"/>
            <wp:docPr id="2" name="Рисунок 2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04" w:rsidRPr="00726204" w:rsidRDefault="00726204" w:rsidP="00726204">
      <w:pPr>
        <w:spacing w:after="0" w:line="240" w:lineRule="auto"/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</w:pPr>
      <w:r w:rsidRPr="00726204">
        <w:rPr>
          <w:rFonts w:ascii="Montserrat" w:eastAsia="Times New Roman" w:hAnsi="Montserrat" w:cs="Times New Roman"/>
          <w:color w:val="00589B"/>
          <w:sz w:val="31"/>
          <w:szCs w:val="31"/>
          <w:lang w:eastAsia="ru-RU"/>
        </w:rPr>
        <w:t>Популярные статьи и материалы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400-ФЗ от 28.12.2013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страховых пенсиях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69-ФЗ от 21.12.1994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пожарной безопасности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40-ФЗ от 25.04.2002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ОСАГО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273-ФЗ от 29.12.2012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об образовании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79-ФЗ от 27.07.2004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государственной гражданской службе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275-ФЗ от 29.12.2012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государственном оборонном заказе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N2300-1 от 07.02.1992 ЗППП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273-ФЗ от 25.12.2008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противодействии коррупции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38-ФЗ от 13.03.2006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рекламе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7-ФЗ от 10.01.2002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охране окружающей среды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3-ФЗ от 07.02.2011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полиции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402-ФЗ от 06.12.2011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бухгалтерском учете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135-ФЗ от 26.07.2006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защите конкуренции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99-ФЗ от 04.05.2011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лицензировании отдельных видов деятельности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14-ФЗ от 08.02.1998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ООО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223-ФЗ от 18.07.2011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закупках товаров, работ, услуг отдельными видами юридических лиц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2202-1 от 17.01.1992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прокуратуре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127-ФЗ 26.10.2002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несостоятельности (банкротстве)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152-ФЗ от 27.07.2006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персональных данных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44-ФЗ от 05.04.2013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 </w:t>
      </w:r>
      <w:proofErr w:type="spellStart"/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госзакупках</w:t>
      </w:r>
      <w:proofErr w:type="spellEnd"/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229-ФЗ от 02.10.2007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исполнительном производстве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53-ФЗ от 28.03.1998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воинской службе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N 395-1 от 02.12.1990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банках и банковской деятельности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333 ГК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неустойки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317.1 ГК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денежному обязательству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395 ГК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денежного обязательства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proofErr w:type="spellStart"/>
        <w:proofErr w:type="gramStart"/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</w:t>
        </w:r>
        <w:proofErr w:type="spellEnd"/>
        <w:proofErr w:type="gramEnd"/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 xml:space="preserve"> 20.25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КоАП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 xml:space="preserve">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исполнения административного наказания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81 ТК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по инициативе работодателя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78 БК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юридическим лицам, индивидуальным предпринимателям, физическим лицам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 xml:space="preserve">ст. 12.8 </w:t>
        </w:r>
        <w:proofErr w:type="spellStart"/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КоАП</w:t>
        </w:r>
        <w:proofErr w:type="spellEnd"/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 xml:space="preserve">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161 БК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положения казенных учреждений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77 ТК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основания прекращения трудового договора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144 УПК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сообщения о преступлении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125 УПК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порядок рассмотрения жалоб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24 УПК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возбуждении уголовного дела или прекращения уголовного дела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126 АПК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исковому заявлению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49 АПК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основания или предмета иска, изменение размера исковых требований, отказ от иска, признание иска, мировое соглашение</w: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726204">
          <w:rPr>
            <w:rFonts w:ascii="Montserrat" w:eastAsia="Times New Roman" w:hAnsi="Montserrat" w:cs="Times New Roman"/>
            <w:color w:val="4272D7"/>
            <w:sz w:val="23"/>
            <w:u w:val="single"/>
            <w:lang w:eastAsia="ru-RU"/>
          </w:rPr>
          <w:t>ст. 125 АПК РФ</w:t>
        </w:r>
      </w:hyperlink>
    </w:p>
    <w:p w:rsidR="00726204" w:rsidRPr="00726204" w:rsidRDefault="00726204" w:rsidP="00726204">
      <w:pPr>
        <w:shd w:val="clear" w:color="auto" w:fill="F8F6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и содержание искового заявления</w:t>
      </w:r>
    </w:p>
    <w:p w:rsidR="00726204" w:rsidRPr="00726204" w:rsidRDefault="00726204" w:rsidP="0072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72D7"/>
          <w:sz w:val="24"/>
          <w:szCs w:val="24"/>
          <w:lang w:eastAsia="ru-RU"/>
        </w:rPr>
        <w:drawing>
          <wp:inline distT="0" distB="0" distL="0" distR="0">
            <wp:extent cx="4572000" cy="7620000"/>
            <wp:effectExtent l="19050" t="0" r="0" b="0"/>
            <wp:docPr id="3" name="Рисунок 3" descr="https://avatars.mds.yandex.net/get-adfox-content/2804317/201102_adfox_1407670_3814448.bbe5c2fb74e261a82b14cc7348272c10.gif/optimize.webp?webp=false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dfox-content/2804317/201102_adfox_1407670_3814448.bbe5c2fb74e261a82b14cc7348272c10.gif/optimize.webp?webp=false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</w:pPr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26204" w:rsidRPr="00726204" w:rsidRDefault="00726204" w:rsidP="00726204">
      <w:pPr>
        <w:shd w:val="clear" w:color="auto" w:fill="F8F6FA"/>
        <w:spacing w:after="0" w:line="240" w:lineRule="auto"/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</w:pPr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(</w:t>
      </w:r>
      <w:proofErr w:type="spellStart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c</w:t>
      </w:r>
      <w:proofErr w:type="spellEnd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 xml:space="preserve">) 2015-2022 ЮИС </w:t>
      </w:r>
      <w:proofErr w:type="spellStart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Легалакт</w:t>
      </w:r>
      <w:proofErr w:type="spellEnd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br/>
        <w:t>Юридическая информационная система "</w:t>
      </w:r>
      <w:proofErr w:type="spellStart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Легалакт</w:t>
      </w:r>
      <w:proofErr w:type="spellEnd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 xml:space="preserve"> - законы, кодексы и нормативно-правовые акты Российской Федерации"</w:t>
      </w:r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br/>
        <w:t>По вопросам размещения рекламы обращаться: ООО "</w:t>
      </w:r>
      <w:proofErr w:type="spellStart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Инфра-Бит</w:t>
      </w:r>
      <w:proofErr w:type="spellEnd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 xml:space="preserve">", г. </w:t>
      </w:r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lastRenderedPageBreak/>
        <w:t>Москва</w:t>
      </w:r>
      <w:proofErr w:type="gramStart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.</w:t>
      </w:r>
      <w:proofErr w:type="gramEnd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br/>
      </w:r>
      <w:proofErr w:type="gramStart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т</w:t>
      </w:r>
      <w:proofErr w:type="gramEnd"/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t>елефон +7 (910) 050-65-67</w:t>
      </w:r>
      <w:r w:rsidRPr="00726204">
        <w:rPr>
          <w:rFonts w:ascii="Montserrat" w:eastAsia="Times New Roman" w:hAnsi="Montserrat" w:cs="Times New Roman"/>
          <w:color w:val="666666"/>
          <w:sz w:val="31"/>
          <w:szCs w:val="31"/>
          <w:lang w:eastAsia="ru-RU"/>
        </w:rPr>
        <w:br/>
        <w:t>электронная почта: info@legalacts.ru</w:t>
      </w:r>
    </w:p>
    <w:p w:rsidR="00635C3D" w:rsidRDefault="00635C3D"/>
    <w:sectPr w:rsidR="00635C3D" w:rsidSect="0063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6204"/>
    <w:rsid w:val="00635C3D"/>
    <w:rsid w:val="0072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2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2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6204"/>
    <w:rPr>
      <w:color w:val="0000FF"/>
      <w:u w:val="single"/>
    </w:rPr>
  </w:style>
  <w:style w:type="paragraph" w:customStyle="1" w:styleId="pright">
    <w:name w:val="pright"/>
    <w:basedOn w:val="a"/>
    <w:rsid w:val="0072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82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A6343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225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808080"/>
                        <w:left w:val="single" w:sz="8" w:space="0" w:color="808080"/>
                        <w:bottom w:val="single" w:sz="8" w:space="0" w:color="808080"/>
                        <w:right w:val="single" w:sz="8" w:space="0" w:color="808080"/>
                      </w:divBdr>
                    </w:div>
                  </w:divsChild>
                </w:div>
              </w:divsChild>
            </w:div>
          </w:divsChild>
        </w:div>
        <w:div w:id="1561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pravitelstva-rf-ot-17122012-n-1318/" TargetMode="External"/><Relationship Id="rId18" Type="http://schemas.openxmlformats.org/officeDocument/2006/relationships/hyperlink" Target="https://legalacts.ru/doc/postanovlenie-pravitelstva-rf-ot-26022010-n-96/" TargetMode="External"/><Relationship Id="rId26" Type="http://schemas.openxmlformats.org/officeDocument/2006/relationships/hyperlink" Target="https://legalacts.ru/doc/postanovlenie-pravitelstva-rf-ot-26022010-n-96/" TargetMode="External"/><Relationship Id="rId39" Type="http://schemas.openxmlformats.org/officeDocument/2006/relationships/hyperlink" Target="https://legalacts.ru/doc/postanovlenie-pravitelstva-rf-ot-26022010-n-96/" TargetMode="External"/><Relationship Id="rId21" Type="http://schemas.openxmlformats.org/officeDocument/2006/relationships/hyperlink" Target="https://legalacts.ru/doc/postanovlenie-pravitelstva-rf-ot-25082012-n-851/" TargetMode="External"/><Relationship Id="rId34" Type="http://schemas.openxmlformats.org/officeDocument/2006/relationships/hyperlink" Target="https://legalacts.ru/doc/federalnyi-zakon-ot-13072015-n-215-fz-o/" TargetMode="External"/><Relationship Id="rId42" Type="http://schemas.openxmlformats.org/officeDocument/2006/relationships/hyperlink" Target="https://legalacts.ru/doc/prikaz-minvostokrazvitija-rossii-ot-28042017-n-103-ob-utverzhdenii/" TargetMode="External"/><Relationship Id="rId47" Type="http://schemas.openxmlformats.org/officeDocument/2006/relationships/hyperlink" Target="https://legalacts.ru/doc/postanovlenie-pravitelstva-rf-ot-26022010-n-96/" TargetMode="External"/><Relationship Id="rId50" Type="http://schemas.openxmlformats.org/officeDocument/2006/relationships/hyperlink" Target="https://legalacts.ru/doc/prikaz-rosmolodezhi-ot-28112016-n-436-ob-utverzhdenii-reglamenta/" TargetMode="External"/><Relationship Id="rId55" Type="http://schemas.openxmlformats.org/officeDocument/2006/relationships/hyperlink" Target="https://legalacts.ru/doc/FZ-o-strahovyh-pensijah/" TargetMode="External"/><Relationship Id="rId63" Type="http://schemas.openxmlformats.org/officeDocument/2006/relationships/hyperlink" Target="https://legalacts.ru/doc/federalnyi-zakon-ot-13032006-n-38-fz-o/" TargetMode="External"/><Relationship Id="rId68" Type="http://schemas.openxmlformats.org/officeDocument/2006/relationships/hyperlink" Target="https://legalacts.ru/doc/99_FZ-o-licenzirovanii-otdelnyh-vidov-dejatelnosti/" TargetMode="External"/><Relationship Id="rId76" Type="http://schemas.openxmlformats.org/officeDocument/2006/relationships/hyperlink" Target="https://legalacts.ru/doc/FZ-o-voinskoj-objazannosti-i-voennoj-sluzhbe/" TargetMode="External"/><Relationship Id="rId84" Type="http://schemas.openxmlformats.org/officeDocument/2006/relationships/hyperlink" Target="https://legalacts.ru/kodeks/KOAP-RF/razdel-ii/glava-12/statja-12.8/" TargetMode="External"/><Relationship Id="rId89" Type="http://schemas.openxmlformats.org/officeDocument/2006/relationships/hyperlink" Target="https://legalacts.ru/kodeks/UPK-RF/chast-1/razdel-i/glava-4/statja-24/" TargetMode="External"/><Relationship Id="rId7" Type="http://schemas.openxmlformats.org/officeDocument/2006/relationships/hyperlink" Target="https://legalacts.ru/doc/postanovlenie-pravitelstva-rf-ot-26022010-n-96/" TargetMode="External"/><Relationship Id="rId71" Type="http://schemas.openxmlformats.org/officeDocument/2006/relationships/hyperlink" Target="https://legalacts.ru/doc/zakon-rf-ot-17011992-n-2202-1-o/" TargetMode="External"/><Relationship Id="rId92" Type="http://schemas.openxmlformats.org/officeDocument/2006/relationships/hyperlink" Target="https://legalacts.ru/kodeks/APK-RF/razdel-ii/glava-13/statja-1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pravitelstva-rf-ot-25082012-n-851/" TargetMode="External"/><Relationship Id="rId29" Type="http://schemas.openxmlformats.org/officeDocument/2006/relationships/image" Target="media/image1.gif"/><Relationship Id="rId11" Type="http://schemas.openxmlformats.org/officeDocument/2006/relationships/hyperlink" Target="https://legalacts.ru/doc/postanovlenie-pravitelstva-rf-ot-01062004-n-260/" TargetMode="External"/><Relationship Id="rId24" Type="http://schemas.openxmlformats.org/officeDocument/2006/relationships/hyperlink" Target="https://legalacts.ru/doc/postanovlenie-pravitelstva-rf-ot-26022010-n-96/" TargetMode="External"/><Relationship Id="rId32" Type="http://schemas.openxmlformats.org/officeDocument/2006/relationships/hyperlink" Target="https://legalacts.ru/doc/postanovlenie-pravitelstva-rf-ot-26022010-n-96/" TargetMode="External"/><Relationship Id="rId37" Type="http://schemas.openxmlformats.org/officeDocument/2006/relationships/hyperlink" Target="https://legalacts.ru/doc/prikaz-roskosmosa-ot-20042010-n-65-ob-utverzhdenii-porjadka/" TargetMode="External"/><Relationship Id="rId40" Type="http://schemas.openxmlformats.org/officeDocument/2006/relationships/hyperlink" Target="https://legalacts.ru/doc/prikaz-rosimushchestva-ot-15052017-n-136-ob-utverzhdenii-reglamenta/" TargetMode="External"/><Relationship Id="rId45" Type="http://schemas.openxmlformats.org/officeDocument/2006/relationships/hyperlink" Target="https://legalacts.ru/doc/postanovlenie-pravitelstva-rf-ot-26022010-n-96/" TargetMode="External"/><Relationship Id="rId53" Type="http://schemas.openxmlformats.org/officeDocument/2006/relationships/hyperlink" Target="https://legalacts.ru/doc/postanovlenie-pravitelstva-rf-ot-26022010-n-96/" TargetMode="External"/><Relationship Id="rId58" Type="http://schemas.openxmlformats.org/officeDocument/2006/relationships/hyperlink" Target="https://legalacts.ru/doc/273_FZ-ob-obrazovanii/" TargetMode="External"/><Relationship Id="rId66" Type="http://schemas.openxmlformats.org/officeDocument/2006/relationships/hyperlink" Target="https://legalacts.ru/doc/402_FZ-o-buhgalterskom-uchete/" TargetMode="External"/><Relationship Id="rId74" Type="http://schemas.openxmlformats.org/officeDocument/2006/relationships/hyperlink" Target="https://legalacts.ru/doc/44_FZ-o-kontraktnoj-sisteme/" TargetMode="External"/><Relationship Id="rId79" Type="http://schemas.openxmlformats.org/officeDocument/2006/relationships/hyperlink" Target="https://legalacts.ru/kodeks/GK-RF-chast-1/razdel-iii/podrazdel-1/glava-22/statja-317.1/" TargetMode="External"/><Relationship Id="rId87" Type="http://schemas.openxmlformats.org/officeDocument/2006/relationships/hyperlink" Target="https://legalacts.ru/kodeks/UPK-RF/chast-2/razdel-vii/glava-19/statja-144/" TargetMode="External"/><Relationship Id="rId5" Type="http://schemas.openxmlformats.org/officeDocument/2006/relationships/hyperlink" Target="https://legalacts.ru/doc/postanovlenie-pravitelstva-rf-ot-26022010-n-96/" TargetMode="External"/><Relationship Id="rId61" Type="http://schemas.openxmlformats.org/officeDocument/2006/relationships/hyperlink" Target="https://legalacts.ru/doc/ZZPP/" TargetMode="External"/><Relationship Id="rId82" Type="http://schemas.openxmlformats.org/officeDocument/2006/relationships/hyperlink" Target="https://legalacts.ru/kodeks/TK-RF/chast-iii/razdel-iii/glava-13/statja-81/" TargetMode="External"/><Relationship Id="rId90" Type="http://schemas.openxmlformats.org/officeDocument/2006/relationships/hyperlink" Target="https://legalacts.ru/kodeks/APK-RF/razdel-ii/glava-13/statja-126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egalacts.ru/doc/postanovlenie-pravitelstva-rf-ot-13081997-n-1009/" TargetMode="External"/><Relationship Id="rId14" Type="http://schemas.openxmlformats.org/officeDocument/2006/relationships/hyperlink" Target="https://legalacts.ru/doc/postanovlenie-pravitelstva-rf-ot-25082012-n-851/" TargetMode="External"/><Relationship Id="rId22" Type="http://schemas.openxmlformats.org/officeDocument/2006/relationships/hyperlink" Target="https://legalacts.ru/doc/postanovlenie-pravitelstva-rf-ot-25082012-n-851/" TargetMode="External"/><Relationship Id="rId27" Type="http://schemas.openxmlformats.org/officeDocument/2006/relationships/hyperlink" Target="https://legalacts.ru/doc/federalnyi-zakon-ot-17072009-n-172-fz-ob/" TargetMode="External"/><Relationship Id="rId30" Type="http://schemas.openxmlformats.org/officeDocument/2006/relationships/hyperlink" Target="https://legalacts.ru/doc/prikaz-rosrezerva-ot-15052017-n-102-ob-utverzhdenii-reglamenta/" TargetMode="External"/><Relationship Id="rId35" Type="http://schemas.openxmlformats.org/officeDocument/2006/relationships/hyperlink" Target="https://legalacts.ru/doc/federalnyi-zakon-ot-17072009-n-172-fz-ob/" TargetMode="External"/><Relationship Id="rId43" Type="http://schemas.openxmlformats.org/officeDocument/2006/relationships/hyperlink" Target="https://legalacts.ru/doc/postanovlenie-pravitelstva-rf-ot-26022010-n-96/" TargetMode="External"/><Relationship Id="rId48" Type="http://schemas.openxmlformats.org/officeDocument/2006/relationships/hyperlink" Target="https://legalacts.ru/doc/prikaz-minstroja-rossii-ot-19012017-n-36pr-ob-utverzhdenii/" TargetMode="External"/><Relationship Id="rId56" Type="http://schemas.openxmlformats.org/officeDocument/2006/relationships/hyperlink" Target="https://legalacts.ru/doc/FZ-o-pozharnoj-bezopasnosti/" TargetMode="External"/><Relationship Id="rId64" Type="http://schemas.openxmlformats.org/officeDocument/2006/relationships/hyperlink" Target="https://legalacts.ru/doc/FZ-ob-ohrane-okruzhajuwej-sredy/" TargetMode="External"/><Relationship Id="rId69" Type="http://schemas.openxmlformats.org/officeDocument/2006/relationships/hyperlink" Target="https://legalacts.ru/doc/14_FZ-ob-obwestvah-s-ogranichennoj-otvetstvennostju/" TargetMode="External"/><Relationship Id="rId77" Type="http://schemas.openxmlformats.org/officeDocument/2006/relationships/hyperlink" Target="https://legalacts.ru/doc/FZ-o-bankah-i-bankovskoj-dejatelnosti/" TargetMode="External"/><Relationship Id="rId8" Type="http://schemas.openxmlformats.org/officeDocument/2006/relationships/hyperlink" Target="https://legalacts.ru/doc/postanovlenie-pravitelstva-rf-ot-01062004-n-260/" TargetMode="External"/><Relationship Id="rId51" Type="http://schemas.openxmlformats.org/officeDocument/2006/relationships/hyperlink" Target="https://legalacts.ru/doc/postanovlenie-pravitelstva-rf-ot-26022010-n-96/" TargetMode="External"/><Relationship Id="rId72" Type="http://schemas.openxmlformats.org/officeDocument/2006/relationships/hyperlink" Target="https://legalacts.ru/doc/FZ-o-nesostojatelnosti-bankrotstve/" TargetMode="External"/><Relationship Id="rId80" Type="http://schemas.openxmlformats.org/officeDocument/2006/relationships/hyperlink" Target="https://legalacts.ru/kodeks/GK-RF-chast-1/razdel-iii/podrazdel-1/glava-25/statja-395/" TargetMode="External"/><Relationship Id="rId85" Type="http://schemas.openxmlformats.org/officeDocument/2006/relationships/hyperlink" Target="https://legalacts.ru/kodeks/Bjudzhetnyj-kodeks/chast-iii/razdel-v/glava-18/statja-161/" TargetMode="External"/><Relationship Id="rId93" Type="http://schemas.openxmlformats.org/officeDocument/2006/relationships/hyperlink" Target="https://ads.adfox.ru/289615/clickURL?ad-session-id=4432321663658548417&amp;hash=ae2c11afba38d2d4&amp;sj=-pvYJpctFE7C8UvPjT3fYSy6fvnU4SxkE8YFFCLXEkdRc6v6Ws8_B8h1g-3Uaw%3D%3D&amp;rand=khkrjjv&amp;rqs=0VqF2iMzBEY1ailjq8zKXkT21E9cuhnK&amp;pr=nsqhjeq&amp;p1=clvno&amp;ytt=185269320155141&amp;p5=ijaro&amp;ybv=0.651601&amp;p2=gphj&amp;ylv=0.651601&amp;pf=https%3A%2F%2Flogin.consultant.ru%2Fdemo-access%2F%3Futm_campaign%3Ddemo_access%26utm_source%3Dlegalactsru%26utm_medium%3Dbanner%26utm_content%3Dregistration%26utm_term%3Dsidecolum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postanovlenie-pravitelstva-rf-ot-01062004-n-260/" TargetMode="External"/><Relationship Id="rId17" Type="http://schemas.openxmlformats.org/officeDocument/2006/relationships/hyperlink" Target="https://legalacts.ru/doc/postanovlenie-pravitelstva-rf-ot-26022010-n-96/" TargetMode="External"/><Relationship Id="rId25" Type="http://schemas.openxmlformats.org/officeDocument/2006/relationships/hyperlink" Target="https://legalacts.ru/doc/postanovlenie-pravitelstva-rf-ot-26022010-n-96/" TargetMode="External"/><Relationship Id="rId33" Type="http://schemas.openxmlformats.org/officeDocument/2006/relationships/hyperlink" Target="https://legalacts.ru/doc/prikaz-goskorporatsii-roskosmos-ot-28042017-n-146-ob-utverzhdenii/" TargetMode="External"/><Relationship Id="rId38" Type="http://schemas.openxmlformats.org/officeDocument/2006/relationships/hyperlink" Target="https://legalacts.ru/doc/federalnyi-zakon-ot-17072009-n-172-fz-ob/" TargetMode="External"/><Relationship Id="rId46" Type="http://schemas.openxmlformats.org/officeDocument/2006/relationships/hyperlink" Target="https://legalacts.ru/doc/prikaz-miniusta-rossii-ot-01022017-n-9-ob-utverzhdenii/" TargetMode="External"/><Relationship Id="rId59" Type="http://schemas.openxmlformats.org/officeDocument/2006/relationships/hyperlink" Target="https://legalacts.ru/doc/79_FZ-o-gosudarstvennoj-grazhdanskoj-sluzhbe/" TargetMode="External"/><Relationship Id="rId67" Type="http://schemas.openxmlformats.org/officeDocument/2006/relationships/hyperlink" Target="https://legalacts.ru/doc/FZ-o-zawite-konkurencii/" TargetMode="External"/><Relationship Id="rId20" Type="http://schemas.openxmlformats.org/officeDocument/2006/relationships/hyperlink" Target="https://legalacts.ru/doc/postanovlenie-pravitelstva-rf-ot-17122012-n-1318/" TargetMode="External"/><Relationship Id="rId41" Type="http://schemas.openxmlformats.org/officeDocument/2006/relationships/hyperlink" Target="https://legalacts.ru/doc/postanovlenie-pravitelstva-rf-ot-26022010-n-96/" TargetMode="External"/><Relationship Id="rId54" Type="http://schemas.openxmlformats.org/officeDocument/2006/relationships/image" Target="media/image2.png"/><Relationship Id="rId62" Type="http://schemas.openxmlformats.org/officeDocument/2006/relationships/hyperlink" Target="https://legalacts.ru/doc/federalnyi-zakon-ot-25122008-n-273-fz-o/" TargetMode="External"/><Relationship Id="rId70" Type="http://schemas.openxmlformats.org/officeDocument/2006/relationships/hyperlink" Target="https://legalacts.ru/doc/223_FZ-o-zakupkah-tovarov_-rabot_-uslug-otdelnymi-vidami-juridicheskih-lic/" TargetMode="External"/><Relationship Id="rId75" Type="http://schemas.openxmlformats.org/officeDocument/2006/relationships/hyperlink" Target="https://legalacts.ru/doc/FZ-ob-ispolnitelnom-proizvodstve/" TargetMode="External"/><Relationship Id="rId83" Type="http://schemas.openxmlformats.org/officeDocument/2006/relationships/hyperlink" Target="https://legalacts.ru/kodeks/Bjudzhetnyj-kodeks/chast-ii/razdel-iii/glava-10/statja-78/" TargetMode="External"/><Relationship Id="rId88" Type="http://schemas.openxmlformats.org/officeDocument/2006/relationships/hyperlink" Target="https://legalacts.ru/kodeks/UPK-RF/chast-1/razdel-v/glava-16/statja-125/" TargetMode="External"/><Relationship Id="rId91" Type="http://schemas.openxmlformats.org/officeDocument/2006/relationships/hyperlink" Target="https://legalacts.ru/kodeks/APK-RF/razdel-i/glava-5/statja-49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6022010-n-96/" TargetMode="External"/><Relationship Id="rId15" Type="http://schemas.openxmlformats.org/officeDocument/2006/relationships/hyperlink" Target="https://legalacts.ru/doc/postanovlenie-pravitelstva-rf-ot-25082012-n-851/" TargetMode="External"/><Relationship Id="rId23" Type="http://schemas.openxmlformats.org/officeDocument/2006/relationships/hyperlink" Target="https://legalacts.ru/doc/postanovlenie-pravitelstva-rf-ot-25082012-n-851/" TargetMode="External"/><Relationship Id="rId28" Type="http://schemas.openxmlformats.org/officeDocument/2006/relationships/hyperlink" Target="https://ads.adfox.ru/289615/clickURL?ad-session-id=4432321663658548417&amp;hash=8aa6cd812339e1cc&amp;sj=HpUbdM4pU3vNUm5dpzj608_2zJ9e1GyVq5QiCk3ERJE3OyHY7v8yQ3wrW5sDCA%3D%3D&amp;rand=ixesaxb&amp;rqs=0VqF2iMzBEY1ailjvZWurvGr1hwlz6Qm&amp;pr=nsqhjeq&amp;p1=clvnn&amp;ytt=185269320155141&amp;p5=ijasj&amp;ybv=0.651601&amp;p2=gxjf&amp;ylv=0.651601&amp;pf=https%3A%2F%2Flogin.consultant.ru%2Fdemo-access%2F%3Futm_campaign%3Ddemo_access%26utm_source%3Dlegalactsru%26utm_medium%3Dbanner%26utm_content%3Dregistration%26utm_term%3Dbottomallpage" TargetMode="External"/><Relationship Id="rId36" Type="http://schemas.openxmlformats.org/officeDocument/2006/relationships/hyperlink" Target="https://legalacts.ru/doc/postanovlenie-pravitelstva-rf-ot-26022010-n-96/" TargetMode="External"/><Relationship Id="rId49" Type="http://schemas.openxmlformats.org/officeDocument/2006/relationships/hyperlink" Target="https://legalacts.ru/doc/postanovlenie-pravitelstva-rf-ot-26022010-n-96/" TargetMode="External"/><Relationship Id="rId57" Type="http://schemas.openxmlformats.org/officeDocument/2006/relationships/hyperlink" Target="https://legalacts.ru/doc/FZ-ob-objazat-strahovanii-grazhd-otvetstv-vladelcev-TS-_OSAGO_/" TargetMode="External"/><Relationship Id="rId10" Type="http://schemas.openxmlformats.org/officeDocument/2006/relationships/hyperlink" Target="https://legalacts.ru/doc/postanovlenie-pravitelstva-rf-ot-26022010-n-96/" TargetMode="External"/><Relationship Id="rId31" Type="http://schemas.openxmlformats.org/officeDocument/2006/relationships/hyperlink" Target="https://legalacts.ru/doc/prikaz-rosrezerva-ot-25012010-n-10-ob/" TargetMode="External"/><Relationship Id="rId44" Type="http://schemas.openxmlformats.org/officeDocument/2006/relationships/hyperlink" Target="https://legalacts.ru/doc/prikaz-minprirody-rossii-ot-22112016-n-613-ob-utverzhdenii/" TargetMode="External"/><Relationship Id="rId52" Type="http://schemas.openxmlformats.org/officeDocument/2006/relationships/hyperlink" Target="https://legalacts.ru/doc/prikaz-rosarkhiva-ot-15122016-n-146-ob-utverzhdenii-reglamenta/" TargetMode="External"/><Relationship Id="rId60" Type="http://schemas.openxmlformats.org/officeDocument/2006/relationships/hyperlink" Target="https://legalacts.ru/doc/FZ-o-gosudarstvennom-oboronnom-zakaze/" TargetMode="External"/><Relationship Id="rId65" Type="http://schemas.openxmlformats.org/officeDocument/2006/relationships/hyperlink" Target="https://legalacts.ru/doc/federalnyi-zakon-ot-07022011-n-3-fz-o/" TargetMode="External"/><Relationship Id="rId73" Type="http://schemas.openxmlformats.org/officeDocument/2006/relationships/hyperlink" Target="https://legalacts.ru/doc/152_FZ-o-personalnyh-dannyh/" TargetMode="External"/><Relationship Id="rId78" Type="http://schemas.openxmlformats.org/officeDocument/2006/relationships/hyperlink" Target="https://legalacts.ru/kodeks/GK-RF-chast-1/razdel-iii/podrazdel-1/glava-23/ss-2/statja-333/" TargetMode="External"/><Relationship Id="rId81" Type="http://schemas.openxmlformats.org/officeDocument/2006/relationships/hyperlink" Target="https://legalacts.ru/kodeks/KOAP-RF/razdel-ii/glava-20/statja-20.25/" TargetMode="External"/><Relationship Id="rId86" Type="http://schemas.openxmlformats.org/officeDocument/2006/relationships/hyperlink" Target="https://legalacts.ru/kodeks/TK-RF/chast-iii/razdel-iii/glava-13/statja-77/" TargetMode="External"/><Relationship Id="rId94" Type="http://schemas.openxmlformats.org/officeDocument/2006/relationships/image" Target="media/image3.gif"/><Relationship Id="rId4" Type="http://schemas.openxmlformats.org/officeDocument/2006/relationships/hyperlink" Target="https://legalacts.ru/doc/federalnyi-zakon-ot-17072009-n-172-fz-ob/" TargetMode="External"/><Relationship Id="rId9" Type="http://schemas.openxmlformats.org/officeDocument/2006/relationships/hyperlink" Target="https://legalacts.ru/doc/postanovlenie-pravitelstva-rf-ot-13081997-n-1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6321</Words>
  <Characters>36030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2022-09-20T07:24:00Z</dcterms:created>
  <dcterms:modified xsi:type="dcterms:W3CDTF">2022-09-20T07:27:00Z</dcterms:modified>
</cp:coreProperties>
</file>